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70" w:rsidRDefault="00EC1470" w:rsidP="00EC1470">
      <w:pPr>
        <w:jc w:val="center"/>
        <w:rPr>
          <w:sz w:val="48"/>
          <w:szCs w:val="48"/>
        </w:rPr>
      </w:pPr>
      <w:r>
        <w:rPr>
          <w:sz w:val="48"/>
          <w:szCs w:val="48"/>
        </w:rPr>
        <w:t>DVBA</w:t>
      </w:r>
    </w:p>
    <w:p w:rsidR="001F0DEF" w:rsidRDefault="00EC1470" w:rsidP="001F0DEF">
      <w:pPr>
        <w:jc w:val="center"/>
        <w:rPr>
          <w:sz w:val="32"/>
          <w:szCs w:val="32"/>
        </w:rPr>
      </w:pPr>
      <w:r>
        <w:rPr>
          <w:sz w:val="32"/>
          <w:szCs w:val="32"/>
        </w:rPr>
        <w:t>Bills of Interest</w:t>
      </w:r>
    </w:p>
    <w:p w:rsidR="00EC1470" w:rsidRPr="00BB083A" w:rsidRDefault="004D230B" w:rsidP="001F0DEF">
      <w:pPr>
        <w:jc w:val="center"/>
        <w:rPr>
          <w:color w:val="FF0000"/>
          <w:sz w:val="32"/>
          <w:szCs w:val="32"/>
        </w:rPr>
      </w:pPr>
      <w:r>
        <w:rPr>
          <w:sz w:val="16"/>
          <w:szCs w:val="16"/>
        </w:rPr>
        <w:t>September 2</w:t>
      </w:r>
      <w:r w:rsidR="0077064B">
        <w:rPr>
          <w:sz w:val="16"/>
          <w:szCs w:val="16"/>
        </w:rPr>
        <w:t>, 2014</w:t>
      </w:r>
    </w:p>
    <w:p w:rsidR="002764A1" w:rsidRPr="00B23D24" w:rsidRDefault="002764A1" w:rsidP="00EC1470">
      <w:pPr>
        <w:jc w:val="center"/>
        <w:rPr>
          <w:b/>
          <w:bCs/>
          <w:sz w:val="16"/>
          <w:szCs w:val="16"/>
          <w:u w:val="single"/>
        </w:rPr>
      </w:pPr>
    </w:p>
    <w:p w:rsidR="00B23D24" w:rsidRPr="001A05FA" w:rsidRDefault="00C7310B" w:rsidP="002764A1">
      <w:pPr>
        <w:rPr>
          <w:b/>
          <w:bCs/>
          <w:sz w:val="22"/>
          <w:szCs w:val="22"/>
          <w:u w:val="single"/>
        </w:rPr>
      </w:pPr>
      <w:r w:rsidRPr="001A05FA">
        <w:rPr>
          <w:b/>
          <w:bCs/>
          <w:sz w:val="22"/>
          <w:szCs w:val="22"/>
          <w:u w:val="single"/>
        </w:rPr>
        <w:t>Pro</w:t>
      </w:r>
    </w:p>
    <w:p w:rsidR="00B23D24" w:rsidRPr="001A05FA" w:rsidRDefault="00B23D24" w:rsidP="002764A1">
      <w:pPr>
        <w:rPr>
          <w:sz w:val="22"/>
          <w:szCs w:val="22"/>
        </w:rPr>
      </w:pPr>
    </w:p>
    <w:p w:rsidR="00643642" w:rsidRDefault="00361677" w:rsidP="00643642">
      <w:pPr>
        <w:pStyle w:val="HTMLPreformatted"/>
        <w:rPr>
          <w:rFonts w:asciiTheme="majorBidi" w:hAnsiTheme="majorBidi" w:cstheme="majorBidi"/>
          <w:sz w:val="24"/>
          <w:szCs w:val="24"/>
        </w:rPr>
      </w:pPr>
      <w:r w:rsidRPr="00CF341E">
        <w:rPr>
          <w:rFonts w:asciiTheme="majorBidi" w:hAnsiTheme="majorBidi" w:cstheme="majorBidi"/>
          <w:b/>
          <w:bCs/>
          <w:sz w:val="24"/>
          <w:szCs w:val="24"/>
        </w:rPr>
        <w:t xml:space="preserve">*Chromium-6 </w:t>
      </w:r>
      <w:r>
        <w:rPr>
          <w:rFonts w:asciiTheme="majorBidi" w:hAnsiTheme="majorBidi" w:cstheme="majorBidi"/>
          <w:b/>
          <w:bCs/>
          <w:sz w:val="24"/>
          <w:szCs w:val="24"/>
        </w:rPr>
        <w:t>implementation as trailer to Budget Bill.</w:t>
      </w:r>
      <w:r>
        <w:rPr>
          <w:rFonts w:asciiTheme="majorBidi" w:hAnsiTheme="majorBidi" w:cstheme="majorBidi"/>
          <w:sz w:val="24"/>
          <w:szCs w:val="24"/>
        </w:rPr>
        <w:t xml:space="preserve"> </w:t>
      </w:r>
      <w:r w:rsidR="00643642">
        <w:rPr>
          <w:rFonts w:asciiTheme="majorBidi" w:hAnsiTheme="majorBidi" w:cstheme="majorBidi"/>
          <w:sz w:val="24"/>
          <w:szCs w:val="24"/>
        </w:rPr>
        <w:t xml:space="preserve">Instead of trying to place the accepted standard on the parallel track of a federal rule, the state legislatures are attempting to eliminate the due </w:t>
      </w:r>
      <w:r w:rsidR="001A258B">
        <w:rPr>
          <w:rFonts w:asciiTheme="majorBidi" w:hAnsiTheme="majorBidi" w:cstheme="majorBidi"/>
          <w:sz w:val="24"/>
          <w:szCs w:val="24"/>
        </w:rPr>
        <w:t xml:space="preserve">processes </w:t>
      </w:r>
      <w:bookmarkStart w:id="0" w:name="_GoBack"/>
      <w:bookmarkEnd w:id="0"/>
      <w:r w:rsidR="00643642">
        <w:rPr>
          <w:rFonts w:asciiTheme="majorBidi" w:hAnsiTheme="majorBidi" w:cstheme="majorBidi"/>
          <w:sz w:val="24"/>
          <w:szCs w:val="24"/>
        </w:rPr>
        <w:t>of the water districts to formally inform its constituents that the water being provided is not compliant to state water regulations. This would be required of our local water districts in January 2015, and possibly start one of the largest class action law suits on record. DVBA had submitted letters of support under a previous plan.</w:t>
      </w:r>
    </w:p>
    <w:p w:rsidR="004768FA" w:rsidRDefault="004768FA" w:rsidP="00975E25">
      <w:pPr>
        <w:rPr>
          <w:b/>
          <w:bCs/>
          <w:sz w:val="22"/>
          <w:szCs w:val="22"/>
        </w:rPr>
      </w:pPr>
    </w:p>
    <w:p w:rsidR="00A654C4" w:rsidRPr="001A05FA" w:rsidRDefault="00C7310B" w:rsidP="009B42E9">
      <w:pPr>
        <w:rPr>
          <w:rFonts w:asciiTheme="majorBidi" w:hAnsiTheme="majorBidi" w:cstheme="majorBidi"/>
          <w:sz w:val="22"/>
          <w:szCs w:val="22"/>
        </w:rPr>
      </w:pPr>
      <w:r w:rsidRPr="001A05FA">
        <w:rPr>
          <w:b/>
          <w:bCs/>
          <w:sz w:val="22"/>
          <w:szCs w:val="22"/>
        </w:rPr>
        <w:t>S</w:t>
      </w:r>
      <w:r w:rsidR="00C008ED" w:rsidRPr="001A05FA">
        <w:rPr>
          <w:b/>
          <w:bCs/>
          <w:sz w:val="22"/>
          <w:szCs w:val="22"/>
        </w:rPr>
        <w:t>B</w:t>
      </w:r>
      <w:r w:rsidR="002764A1" w:rsidRPr="001A05FA">
        <w:rPr>
          <w:b/>
          <w:bCs/>
          <w:sz w:val="22"/>
          <w:szCs w:val="22"/>
        </w:rPr>
        <w:t xml:space="preserve"> </w:t>
      </w:r>
      <w:r w:rsidRPr="001A05FA">
        <w:rPr>
          <w:b/>
          <w:bCs/>
          <w:sz w:val="22"/>
          <w:szCs w:val="22"/>
        </w:rPr>
        <w:t xml:space="preserve">1139 (B. Hueso / </w:t>
      </w:r>
      <w:r w:rsidR="002764A1" w:rsidRPr="001A05FA">
        <w:rPr>
          <w:b/>
          <w:bCs/>
          <w:sz w:val="22"/>
          <w:szCs w:val="22"/>
        </w:rPr>
        <w:t>V.M. Perez) - Geothermal Energy Development</w:t>
      </w:r>
      <w:r w:rsidR="002764A1" w:rsidRPr="001A05FA">
        <w:rPr>
          <w:sz w:val="22"/>
          <w:szCs w:val="22"/>
        </w:rPr>
        <w:t>.</w:t>
      </w:r>
      <w:r w:rsidRPr="001A05FA">
        <w:rPr>
          <w:sz w:val="22"/>
          <w:szCs w:val="22"/>
        </w:rPr>
        <w:t xml:space="preserve"> </w:t>
      </w:r>
      <w:r w:rsidRPr="001A05FA">
        <w:rPr>
          <w:rFonts w:asciiTheme="majorBidi" w:hAnsiTheme="majorBidi" w:cstheme="majorBidi"/>
          <w:sz w:val="22"/>
          <w:szCs w:val="22"/>
        </w:rPr>
        <w:t xml:space="preserve">This bill would require, no later than December 31, 2024, each retail seller of electricity and local publicly owned electric utility to procure a proportionate share, as determined by the Energy Commission, of a statewide total of 500 megawatts of electricity generated by specified baseload geothermal powerplants. </w:t>
      </w:r>
      <w:r w:rsidRPr="001A05FA">
        <w:rPr>
          <w:rFonts w:asciiTheme="majorBidi" w:hAnsiTheme="majorBidi" w:cstheme="majorBidi"/>
          <w:b/>
          <w:bCs/>
          <w:sz w:val="22"/>
          <w:szCs w:val="22"/>
          <w:u w:val="single"/>
        </w:rPr>
        <w:t>Letter of support submitted</w:t>
      </w:r>
      <w:r w:rsidRPr="001A05FA">
        <w:rPr>
          <w:rFonts w:asciiTheme="majorBidi" w:hAnsiTheme="majorBidi" w:cstheme="majorBidi"/>
          <w:sz w:val="22"/>
          <w:szCs w:val="22"/>
        </w:rPr>
        <w:t>.</w:t>
      </w:r>
      <w:r w:rsidR="009B42E9" w:rsidRPr="009B42E9">
        <w:rPr>
          <w:rFonts w:asciiTheme="majorBidi" w:hAnsiTheme="majorBidi" w:cstheme="majorBidi"/>
          <w:b/>
          <w:bCs/>
          <w:i/>
          <w:iCs/>
          <w:sz w:val="22"/>
          <w:szCs w:val="22"/>
        </w:rPr>
        <w:t xml:space="preserve"> DEAD</w:t>
      </w:r>
      <w:r w:rsidR="000E53D0" w:rsidRPr="009B42E9">
        <w:rPr>
          <w:rFonts w:asciiTheme="majorBidi" w:hAnsiTheme="majorBidi" w:cstheme="majorBidi"/>
          <w:b/>
          <w:bCs/>
          <w:i/>
          <w:iCs/>
          <w:sz w:val="22"/>
          <w:szCs w:val="22"/>
        </w:rPr>
        <w:t>.</w:t>
      </w:r>
    </w:p>
    <w:p w:rsidR="00987D41" w:rsidRPr="001A05FA" w:rsidRDefault="00987D41" w:rsidP="002764A1">
      <w:pPr>
        <w:rPr>
          <w:sz w:val="22"/>
          <w:szCs w:val="22"/>
        </w:rPr>
      </w:pPr>
    </w:p>
    <w:p w:rsidR="00987D41" w:rsidRPr="009B42E9" w:rsidRDefault="00987D41" w:rsidP="009B42E9">
      <w:pPr>
        <w:rPr>
          <w:sz w:val="22"/>
          <w:szCs w:val="22"/>
        </w:rPr>
      </w:pPr>
      <w:r w:rsidRPr="001A05FA">
        <w:rPr>
          <w:b/>
          <w:bCs/>
          <w:sz w:val="22"/>
          <w:szCs w:val="22"/>
        </w:rPr>
        <w:t>AB 1896 (V.M. Perez) – Non- Potable Water (CVWD Bill)</w:t>
      </w:r>
      <w:r w:rsidRPr="001A05FA">
        <w:rPr>
          <w:sz w:val="22"/>
          <w:szCs w:val="22"/>
        </w:rPr>
        <w:t xml:space="preserve">. Adds the requirement for HOA to attached to non-potable sources when reasonable available. This is CVWD territory specific adding to existing law. </w:t>
      </w:r>
      <w:r w:rsidR="00630ABE" w:rsidRPr="001A05FA">
        <w:rPr>
          <w:b/>
          <w:bCs/>
          <w:sz w:val="22"/>
          <w:szCs w:val="22"/>
          <w:u w:val="single"/>
        </w:rPr>
        <w:t>Letter of support submitted</w:t>
      </w:r>
      <w:r w:rsidR="00630ABE" w:rsidRPr="001A05FA">
        <w:rPr>
          <w:sz w:val="22"/>
          <w:szCs w:val="22"/>
        </w:rPr>
        <w:t xml:space="preserve">. </w:t>
      </w:r>
      <w:r w:rsidR="009B42E9">
        <w:rPr>
          <w:sz w:val="22"/>
          <w:szCs w:val="22"/>
        </w:rPr>
        <w:t xml:space="preserve"> Passed and signed (Chaptered).</w:t>
      </w:r>
    </w:p>
    <w:p w:rsidR="00CF341E" w:rsidRPr="001A05FA" w:rsidRDefault="00CF341E" w:rsidP="00CF341E">
      <w:pPr>
        <w:rPr>
          <w:sz w:val="22"/>
          <w:szCs w:val="22"/>
        </w:rPr>
      </w:pPr>
    </w:p>
    <w:p w:rsidR="00516993" w:rsidRPr="001A05FA" w:rsidRDefault="00987D41" w:rsidP="00CF341E">
      <w:pPr>
        <w:pStyle w:val="HTMLPreformatted"/>
        <w:rPr>
          <w:rFonts w:asciiTheme="majorBidi" w:hAnsiTheme="majorBidi" w:cstheme="majorBidi"/>
          <w:sz w:val="22"/>
          <w:szCs w:val="22"/>
        </w:rPr>
      </w:pPr>
      <w:r w:rsidRPr="001A05FA">
        <w:rPr>
          <w:rFonts w:asciiTheme="majorBidi" w:hAnsiTheme="majorBidi" w:cstheme="majorBidi"/>
          <w:b/>
          <w:bCs/>
          <w:sz w:val="22"/>
          <w:szCs w:val="22"/>
        </w:rPr>
        <w:t>AB 2312 (Nestande) – Metal Theft Data Base</w:t>
      </w:r>
      <w:r w:rsidRPr="001A05FA">
        <w:rPr>
          <w:rFonts w:asciiTheme="majorBidi" w:hAnsiTheme="majorBidi" w:cstheme="majorBidi"/>
          <w:sz w:val="22"/>
          <w:szCs w:val="22"/>
        </w:rPr>
        <w:t xml:space="preserve">. </w:t>
      </w:r>
      <w:r w:rsidR="00630ABE" w:rsidRPr="001A05FA">
        <w:rPr>
          <w:rFonts w:asciiTheme="majorBidi" w:hAnsiTheme="majorBidi" w:cstheme="majorBidi"/>
          <w:b/>
          <w:bCs/>
          <w:sz w:val="22"/>
          <w:szCs w:val="22"/>
          <w:u w:val="single"/>
        </w:rPr>
        <w:t>Letter of support submitted</w:t>
      </w:r>
      <w:r w:rsidR="00630ABE" w:rsidRPr="001A05FA">
        <w:rPr>
          <w:rFonts w:asciiTheme="majorBidi" w:hAnsiTheme="majorBidi" w:cstheme="majorBidi"/>
          <w:sz w:val="22"/>
          <w:szCs w:val="22"/>
        </w:rPr>
        <w:t xml:space="preserve">. </w:t>
      </w:r>
      <w:r w:rsidR="009B42E9" w:rsidRPr="009B42E9">
        <w:rPr>
          <w:rFonts w:asciiTheme="majorBidi" w:hAnsiTheme="majorBidi" w:cstheme="majorBidi"/>
          <w:b/>
          <w:bCs/>
          <w:sz w:val="22"/>
          <w:szCs w:val="22"/>
        </w:rPr>
        <w:t>Enrolled 8/22</w:t>
      </w:r>
    </w:p>
    <w:p w:rsidR="00387923" w:rsidRPr="001A05FA" w:rsidRDefault="00387923" w:rsidP="00387923">
      <w:pPr>
        <w:pStyle w:val="HTMLPreformatted"/>
        <w:rPr>
          <w:rFonts w:asciiTheme="majorBidi" w:hAnsiTheme="majorBidi" w:cstheme="majorBidi"/>
          <w:sz w:val="22"/>
          <w:szCs w:val="22"/>
        </w:rPr>
      </w:pPr>
    </w:p>
    <w:p w:rsidR="00186E7B" w:rsidRDefault="00516993" w:rsidP="009B42E9">
      <w:pPr>
        <w:pStyle w:val="HTMLPreformatted"/>
        <w:rPr>
          <w:rFonts w:asciiTheme="majorBidi" w:hAnsiTheme="majorBidi" w:cstheme="majorBidi"/>
          <w:sz w:val="22"/>
          <w:szCs w:val="22"/>
        </w:rPr>
      </w:pPr>
      <w:r w:rsidRPr="001A05FA">
        <w:rPr>
          <w:rFonts w:asciiTheme="majorBidi" w:hAnsiTheme="majorBidi" w:cstheme="majorBidi"/>
          <w:b/>
          <w:bCs/>
          <w:sz w:val="22"/>
          <w:szCs w:val="22"/>
        </w:rPr>
        <w:t>A</w:t>
      </w:r>
      <w:r w:rsidR="008A62D9" w:rsidRPr="001A05FA">
        <w:rPr>
          <w:rFonts w:asciiTheme="majorBidi" w:hAnsiTheme="majorBidi" w:cstheme="majorBidi"/>
          <w:b/>
          <w:bCs/>
          <w:sz w:val="22"/>
          <w:szCs w:val="22"/>
        </w:rPr>
        <w:t>B</w:t>
      </w:r>
      <w:r w:rsidRPr="001A05FA">
        <w:rPr>
          <w:rFonts w:asciiTheme="majorBidi" w:hAnsiTheme="majorBidi" w:cstheme="majorBidi"/>
          <w:b/>
          <w:bCs/>
          <w:sz w:val="22"/>
          <w:szCs w:val="22"/>
        </w:rPr>
        <w:t xml:space="preserve"> 2313 (Nestande) –</w:t>
      </w:r>
      <w:r w:rsidR="00186E7B" w:rsidRPr="001A05FA">
        <w:rPr>
          <w:rFonts w:asciiTheme="majorBidi" w:hAnsiTheme="majorBidi" w:cstheme="majorBidi"/>
          <w:b/>
          <w:bCs/>
          <w:sz w:val="22"/>
          <w:szCs w:val="22"/>
        </w:rPr>
        <w:t xml:space="preserve"> Metal Theft Task Force</w:t>
      </w:r>
      <w:r w:rsidRPr="001A05FA">
        <w:rPr>
          <w:rFonts w:asciiTheme="majorBidi" w:hAnsiTheme="majorBidi" w:cstheme="majorBidi"/>
          <w:b/>
          <w:bCs/>
          <w:sz w:val="22"/>
          <w:szCs w:val="22"/>
        </w:rPr>
        <w:t xml:space="preserve"> </w:t>
      </w:r>
      <w:r w:rsidR="00186E7B" w:rsidRPr="001A05FA">
        <w:rPr>
          <w:rFonts w:asciiTheme="majorBidi" w:hAnsiTheme="majorBidi" w:cstheme="majorBidi"/>
          <w:b/>
          <w:bCs/>
          <w:sz w:val="22"/>
          <w:szCs w:val="22"/>
        </w:rPr>
        <w:t>and Funding</w:t>
      </w:r>
      <w:r w:rsidR="00E66E5E" w:rsidRPr="001A05FA">
        <w:rPr>
          <w:rFonts w:asciiTheme="majorBidi" w:hAnsiTheme="majorBidi" w:cstheme="majorBidi"/>
          <w:b/>
          <w:bCs/>
          <w:sz w:val="22"/>
          <w:szCs w:val="22"/>
        </w:rPr>
        <w:t>.</w:t>
      </w:r>
      <w:r w:rsidR="00186E7B" w:rsidRPr="001A05FA">
        <w:rPr>
          <w:rFonts w:asciiTheme="majorBidi" w:hAnsiTheme="majorBidi" w:cstheme="majorBidi"/>
          <w:sz w:val="22"/>
          <w:szCs w:val="22"/>
        </w:rPr>
        <w:t xml:space="preserve">  The bill would impose a fee, to be deposited into the fund, of up to 1% of the purchase price for each junk sale on the seller of junk for the purpose of regulating that seller, thereby making an appropriation. </w:t>
      </w:r>
      <w:r w:rsidR="00630ABE" w:rsidRPr="001A05FA">
        <w:rPr>
          <w:rFonts w:asciiTheme="majorBidi" w:hAnsiTheme="majorBidi" w:cstheme="majorBidi"/>
          <w:b/>
          <w:bCs/>
          <w:sz w:val="22"/>
          <w:szCs w:val="22"/>
          <w:u w:val="single"/>
        </w:rPr>
        <w:t>Letter of support submitted</w:t>
      </w:r>
      <w:r w:rsidR="00630ABE" w:rsidRPr="001A05FA">
        <w:rPr>
          <w:rFonts w:asciiTheme="majorBidi" w:hAnsiTheme="majorBidi" w:cstheme="majorBidi"/>
          <w:sz w:val="22"/>
          <w:szCs w:val="22"/>
        </w:rPr>
        <w:t xml:space="preserve">. </w:t>
      </w:r>
      <w:r w:rsidR="009B42E9" w:rsidRPr="009B42E9">
        <w:rPr>
          <w:rFonts w:asciiTheme="majorBidi" w:hAnsiTheme="majorBidi" w:cstheme="majorBidi"/>
          <w:b/>
          <w:bCs/>
          <w:sz w:val="22"/>
          <w:szCs w:val="22"/>
        </w:rPr>
        <w:t>Inactive 8/26</w:t>
      </w:r>
    </w:p>
    <w:p w:rsidR="009B42E9" w:rsidRPr="001A05FA" w:rsidRDefault="009B42E9" w:rsidP="009B42E9">
      <w:pPr>
        <w:pStyle w:val="HTMLPreformatted"/>
        <w:rPr>
          <w:rFonts w:ascii="Courier New" w:hAnsi="Courier New" w:cs="Courier New"/>
          <w:sz w:val="22"/>
          <w:szCs w:val="22"/>
          <w:lang w:eastAsia="zh-TW"/>
        </w:rPr>
      </w:pPr>
    </w:p>
    <w:p w:rsidR="00186E7B" w:rsidRPr="001A05FA" w:rsidRDefault="00186E7B" w:rsidP="00630ABE">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lang w:eastAsia="zh-TW"/>
        </w:rPr>
        <w:t>AB 2688 (Brown D – San Bernardino) – Employer; Good Faith defense</w:t>
      </w:r>
      <w:r w:rsidRPr="001A05FA">
        <w:rPr>
          <w:rFonts w:asciiTheme="majorBidi" w:hAnsiTheme="majorBidi" w:cstheme="majorBidi"/>
          <w:sz w:val="22"/>
          <w:szCs w:val="22"/>
          <w:lang w:eastAsia="zh-TW"/>
        </w:rPr>
        <w:t xml:space="preserve">. In labor disputes, employer sought and received (in writing) procedure in handling employee issue, would retain “good faith defense”, if followed appropriately, when challenged. </w:t>
      </w:r>
      <w:r w:rsidR="00630ABE" w:rsidRPr="001A05FA">
        <w:rPr>
          <w:rFonts w:asciiTheme="majorBidi" w:hAnsiTheme="majorBidi" w:cstheme="majorBidi"/>
          <w:sz w:val="22"/>
          <w:szCs w:val="22"/>
          <w:lang w:eastAsia="zh-TW"/>
        </w:rPr>
        <w:t xml:space="preserve">5/2 </w:t>
      </w:r>
      <w:r w:rsidR="00630ABE" w:rsidRPr="00CF341E">
        <w:rPr>
          <w:rFonts w:asciiTheme="majorBidi" w:hAnsiTheme="majorBidi" w:cstheme="majorBidi"/>
          <w:b/>
          <w:bCs/>
          <w:sz w:val="22"/>
          <w:szCs w:val="22"/>
          <w:lang w:eastAsia="zh-TW"/>
        </w:rPr>
        <w:t>DEAD</w:t>
      </w:r>
      <w:r w:rsidR="00630ABE" w:rsidRPr="001A05FA">
        <w:rPr>
          <w:rFonts w:asciiTheme="majorBidi" w:hAnsiTheme="majorBidi" w:cstheme="majorBidi"/>
          <w:sz w:val="22"/>
          <w:szCs w:val="22"/>
          <w:lang w:eastAsia="zh-TW"/>
        </w:rPr>
        <w:t>.</w:t>
      </w:r>
      <w:r w:rsidRPr="001A05FA">
        <w:rPr>
          <w:rFonts w:asciiTheme="majorBidi" w:hAnsiTheme="majorBidi" w:cstheme="majorBidi"/>
          <w:sz w:val="22"/>
          <w:szCs w:val="22"/>
          <w:lang w:eastAsia="zh-TW"/>
        </w:rPr>
        <w:t xml:space="preserve"> </w:t>
      </w:r>
    </w:p>
    <w:p w:rsidR="00C008ED" w:rsidRPr="001A05FA" w:rsidRDefault="00C008ED">
      <w:pPr>
        <w:rPr>
          <w:sz w:val="22"/>
          <w:szCs w:val="22"/>
        </w:rPr>
      </w:pPr>
    </w:p>
    <w:p w:rsidR="0043693D" w:rsidRPr="001A05FA" w:rsidRDefault="0043693D" w:rsidP="00E66E5E">
      <w:pPr>
        <w:rPr>
          <w:sz w:val="22"/>
          <w:szCs w:val="22"/>
        </w:rPr>
      </w:pPr>
      <w:r w:rsidRPr="001A05FA">
        <w:rPr>
          <w:b/>
          <w:bCs/>
          <w:sz w:val="22"/>
          <w:szCs w:val="22"/>
        </w:rPr>
        <w:t>SB 1451 (Hill</w:t>
      </w:r>
      <w:r w:rsidR="00E66E5E" w:rsidRPr="001A05FA">
        <w:rPr>
          <w:b/>
          <w:bCs/>
          <w:sz w:val="22"/>
          <w:szCs w:val="22"/>
        </w:rPr>
        <w:t xml:space="preserve"> D – San Mateo)</w:t>
      </w:r>
      <w:r w:rsidRPr="001A05FA">
        <w:rPr>
          <w:b/>
          <w:bCs/>
          <w:sz w:val="22"/>
          <w:szCs w:val="22"/>
        </w:rPr>
        <w:t xml:space="preserve"> - CEQA Document Dumping</w:t>
      </w:r>
      <w:r w:rsidRPr="001A05FA">
        <w:rPr>
          <w:sz w:val="22"/>
          <w:szCs w:val="22"/>
        </w:rPr>
        <w:t>. Currently, an environmental document may be delayed in the 11</w:t>
      </w:r>
      <w:r w:rsidRPr="001A05FA">
        <w:rPr>
          <w:sz w:val="22"/>
          <w:szCs w:val="22"/>
          <w:vertAlign w:val="superscript"/>
        </w:rPr>
        <w:t>th</w:t>
      </w:r>
      <w:r w:rsidRPr="001A05FA">
        <w:rPr>
          <w:sz w:val="22"/>
          <w:szCs w:val="22"/>
        </w:rPr>
        <w:t xml:space="preserve"> hour when the local agency is making its final determination by submitting written challenges. The agency must then delay the public hearing until such time as they are able to review the thousands of pages of “new” material. SB 1451 would require all challenges to be submitted in a timely fashion, with enough time for the local agency to make the determination at the scheduled Public Hearing. </w:t>
      </w:r>
      <w:r w:rsidR="00630ABE" w:rsidRPr="001A05FA">
        <w:rPr>
          <w:sz w:val="22"/>
          <w:szCs w:val="22"/>
        </w:rPr>
        <w:t xml:space="preserve">5/9 </w:t>
      </w:r>
      <w:r w:rsidR="00630ABE" w:rsidRPr="00CF341E">
        <w:rPr>
          <w:b/>
          <w:bCs/>
          <w:sz w:val="22"/>
          <w:szCs w:val="22"/>
        </w:rPr>
        <w:t>DEAD</w:t>
      </w:r>
      <w:r w:rsidRPr="001A05FA">
        <w:rPr>
          <w:sz w:val="22"/>
          <w:szCs w:val="22"/>
        </w:rPr>
        <w:t xml:space="preserve">. </w:t>
      </w:r>
    </w:p>
    <w:p w:rsidR="00896A15" w:rsidRPr="001A05FA" w:rsidRDefault="00896A15" w:rsidP="00630ABE">
      <w:pPr>
        <w:rPr>
          <w:sz w:val="22"/>
          <w:szCs w:val="22"/>
        </w:rPr>
      </w:pPr>
    </w:p>
    <w:p w:rsidR="0031602B" w:rsidRDefault="00896A15" w:rsidP="00CF341E">
      <w:pPr>
        <w:rPr>
          <w:rFonts w:asciiTheme="majorBidi" w:hAnsiTheme="majorBidi" w:cstheme="majorBidi"/>
          <w:b/>
          <w:bCs/>
          <w:i/>
          <w:iCs/>
          <w:sz w:val="22"/>
          <w:szCs w:val="22"/>
        </w:rPr>
      </w:pPr>
      <w:r w:rsidRPr="001A05FA">
        <w:rPr>
          <w:b/>
          <w:bCs/>
          <w:sz w:val="22"/>
          <w:szCs w:val="22"/>
        </w:rPr>
        <w:t>AB 2280 (Alejo</w:t>
      </w:r>
      <w:r w:rsidR="00E66E5E" w:rsidRPr="001A05FA">
        <w:rPr>
          <w:b/>
          <w:bCs/>
          <w:sz w:val="22"/>
          <w:szCs w:val="22"/>
        </w:rPr>
        <w:t xml:space="preserve"> D - Salinas</w:t>
      </w:r>
      <w:r w:rsidRPr="001A05FA">
        <w:rPr>
          <w:b/>
          <w:bCs/>
          <w:sz w:val="22"/>
          <w:szCs w:val="22"/>
        </w:rPr>
        <w:t>)</w:t>
      </w:r>
      <w:r w:rsidRPr="001A05FA">
        <w:rPr>
          <w:sz w:val="22"/>
          <w:szCs w:val="22"/>
        </w:rPr>
        <w:t xml:space="preserve"> - </w:t>
      </w:r>
      <w:r w:rsidRPr="001A05FA">
        <w:rPr>
          <w:rFonts w:asciiTheme="majorBidi" w:hAnsiTheme="majorBidi" w:cstheme="majorBidi"/>
          <w:sz w:val="22"/>
          <w:szCs w:val="22"/>
        </w:rPr>
        <w:t>This bill would authorize certain local agencies, to form a community revitalization authority (authority) within a (defined) community revitalization and investment area, for purposes related to, among other things, infrastructure, affordable housing, and economic revitalization. The fi</w:t>
      </w:r>
      <w:r w:rsidR="00314E1F" w:rsidRPr="001A05FA">
        <w:rPr>
          <w:rFonts w:asciiTheme="majorBidi" w:hAnsiTheme="majorBidi" w:cstheme="majorBidi"/>
          <w:sz w:val="22"/>
          <w:szCs w:val="22"/>
        </w:rPr>
        <w:t xml:space="preserve">nancing of these activities by </w:t>
      </w:r>
      <w:r w:rsidRPr="001A05FA">
        <w:rPr>
          <w:rFonts w:asciiTheme="majorBidi" w:hAnsiTheme="majorBidi" w:cstheme="majorBidi"/>
          <w:sz w:val="22"/>
          <w:szCs w:val="22"/>
        </w:rPr>
        <w:t>the issuance of bonds serviced by tax increment revenues.</w:t>
      </w:r>
      <w:r w:rsidR="00314E1F" w:rsidRPr="001A05FA">
        <w:rPr>
          <w:rFonts w:asciiTheme="majorBidi" w:hAnsiTheme="majorBidi" w:cstheme="majorBidi"/>
          <w:sz w:val="22"/>
          <w:szCs w:val="22"/>
        </w:rPr>
        <w:t xml:space="preserve"> </w:t>
      </w:r>
      <w:r w:rsidR="009B42E9">
        <w:rPr>
          <w:rFonts w:asciiTheme="majorBidi" w:hAnsiTheme="majorBidi" w:cstheme="majorBidi"/>
          <w:b/>
          <w:bCs/>
          <w:i/>
          <w:iCs/>
          <w:sz w:val="22"/>
          <w:szCs w:val="22"/>
        </w:rPr>
        <w:t>Enrolled 8/27</w:t>
      </w:r>
    </w:p>
    <w:p w:rsidR="009B42E9" w:rsidRPr="009B42E9" w:rsidRDefault="009B42E9" w:rsidP="00CF341E">
      <w:pPr>
        <w:rPr>
          <w:rFonts w:asciiTheme="majorBidi" w:hAnsiTheme="majorBidi" w:cstheme="majorBidi"/>
          <w:b/>
          <w:bCs/>
          <w:i/>
          <w:iCs/>
          <w:sz w:val="22"/>
          <w:szCs w:val="22"/>
        </w:rPr>
      </w:pPr>
    </w:p>
    <w:tbl>
      <w:tblPr>
        <w:tblW w:w="5000" w:type="pct"/>
        <w:tblCellSpacing w:w="0" w:type="dxa"/>
        <w:tblCellMar>
          <w:left w:w="0" w:type="dxa"/>
          <w:right w:w="0" w:type="dxa"/>
        </w:tblCellMar>
        <w:tblLook w:val="04A0" w:firstRow="1" w:lastRow="0" w:firstColumn="1" w:lastColumn="0" w:noHBand="0" w:noVBand="1"/>
      </w:tblPr>
      <w:tblGrid>
        <w:gridCol w:w="8640"/>
      </w:tblGrid>
      <w:tr w:rsidR="00070F3A" w:rsidRPr="001A05FA" w:rsidTr="0031602B">
        <w:trPr>
          <w:tblCellSpacing w:w="0" w:type="dxa"/>
        </w:trPr>
        <w:tc>
          <w:tcPr>
            <w:tcW w:w="0" w:type="auto"/>
            <w:vAlign w:val="center"/>
            <w:hideMark/>
          </w:tcPr>
          <w:p w:rsidR="00CF341E" w:rsidRDefault="00CF341E" w:rsidP="00BE5AD0">
            <w:pPr>
              <w:pStyle w:val="HTMLPreformatted"/>
              <w:rPr>
                <w:rFonts w:asciiTheme="majorBidi" w:hAnsiTheme="majorBidi" w:cstheme="majorBidi"/>
                <w:b/>
                <w:bCs/>
                <w:sz w:val="22"/>
                <w:szCs w:val="22"/>
              </w:rPr>
            </w:pPr>
          </w:p>
          <w:p w:rsidR="007E3F66" w:rsidRPr="004D230B" w:rsidRDefault="0031602B" w:rsidP="004D230B">
            <w:pPr>
              <w:pStyle w:val="HTMLPreformatted"/>
              <w:rPr>
                <w:rFonts w:asciiTheme="majorBidi" w:hAnsiTheme="majorBidi" w:cstheme="majorBidi"/>
                <w:b/>
                <w:bCs/>
                <w:sz w:val="22"/>
                <w:szCs w:val="22"/>
                <w:lang w:eastAsia="zh-TW"/>
              </w:rPr>
            </w:pPr>
            <w:r w:rsidRPr="001A05FA">
              <w:rPr>
                <w:rFonts w:asciiTheme="majorBidi" w:hAnsiTheme="majorBidi" w:cstheme="majorBidi"/>
                <w:b/>
                <w:bCs/>
                <w:sz w:val="22"/>
                <w:szCs w:val="22"/>
              </w:rPr>
              <w:lastRenderedPageBreak/>
              <w:t xml:space="preserve">AB 2235 (Buchanan D - </w:t>
            </w:r>
            <w:r w:rsidR="00E43B7D" w:rsidRPr="001A05FA">
              <w:rPr>
                <w:rFonts w:asciiTheme="majorBidi" w:hAnsiTheme="majorBidi" w:cstheme="majorBidi"/>
                <w:b/>
                <w:bCs/>
                <w:sz w:val="22"/>
                <w:szCs w:val="22"/>
              </w:rPr>
              <w:t>Alamo</w:t>
            </w:r>
            <w:r w:rsidRPr="001A05FA">
              <w:rPr>
                <w:rFonts w:asciiTheme="majorBidi" w:hAnsiTheme="majorBidi" w:cstheme="majorBidi"/>
                <w:b/>
                <w:bCs/>
                <w:sz w:val="22"/>
                <w:szCs w:val="22"/>
              </w:rPr>
              <w:t>) Education facilities: Kindergarten-University Public Education Facilities Bond Act of 2014.</w:t>
            </w:r>
            <w:r w:rsidRPr="001A05FA">
              <w:rPr>
                <w:rFonts w:asciiTheme="majorBidi" w:hAnsiTheme="majorBidi" w:cstheme="majorBidi"/>
                <w:sz w:val="22"/>
                <w:szCs w:val="22"/>
              </w:rPr>
              <w:t xml:space="preserve">  (Amended: 5/23/2014) This bill would </w:t>
            </w:r>
            <w:r w:rsidR="00E43B7D" w:rsidRPr="001A05FA">
              <w:rPr>
                <w:rFonts w:asciiTheme="majorBidi" w:hAnsiTheme="majorBidi" w:cstheme="majorBidi"/>
                <w:sz w:val="22"/>
                <w:szCs w:val="22"/>
              </w:rPr>
              <w:t>repeal several unnecessary requirements of evaluation by the SAB.</w:t>
            </w:r>
            <w:r w:rsidRPr="001A05FA">
              <w:rPr>
                <w:rFonts w:asciiTheme="majorBidi" w:hAnsiTheme="majorBidi" w:cstheme="majorBidi"/>
                <w:sz w:val="22"/>
                <w:szCs w:val="22"/>
              </w:rPr>
              <w:t xml:space="preserve"> This bill</w:t>
            </w:r>
            <w:r w:rsidR="00E43B7D" w:rsidRPr="001A05FA">
              <w:rPr>
                <w:rFonts w:asciiTheme="majorBidi" w:hAnsiTheme="majorBidi" w:cstheme="majorBidi"/>
                <w:sz w:val="22"/>
                <w:szCs w:val="22"/>
              </w:rPr>
              <w:t xml:space="preserve"> primarily a</w:t>
            </w:r>
            <w:r w:rsidR="00070F3A" w:rsidRPr="001A05FA">
              <w:rPr>
                <w:rFonts w:asciiTheme="majorBidi" w:hAnsiTheme="majorBidi" w:cstheme="majorBidi"/>
                <w:sz w:val="22"/>
                <w:szCs w:val="22"/>
                <w:lang w:eastAsia="zh-TW"/>
              </w:rPr>
              <w:t xml:space="preserve">uthorizes $9 billion in general obligation (G.O.) school facilities bond to be placed on the November 4, 2014, statewide general election and specifies the funds to be allocated </w:t>
            </w:r>
            <w:r w:rsidR="00E43B7D" w:rsidRPr="001A05FA">
              <w:rPr>
                <w:rFonts w:asciiTheme="majorBidi" w:hAnsiTheme="majorBidi" w:cstheme="majorBidi"/>
                <w:sz w:val="22"/>
                <w:szCs w:val="22"/>
                <w:lang w:eastAsia="zh-TW"/>
              </w:rPr>
              <w:t>specifically.</w:t>
            </w:r>
            <w:r w:rsidR="00BE5AD0" w:rsidRPr="001A05FA">
              <w:rPr>
                <w:rFonts w:asciiTheme="majorBidi" w:hAnsiTheme="majorBidi" w:cstheme="majorBidi"/>
                <w:sz w:val="22"/>
                <w:szCs w:val="22"/>
                <w:lang w:eastAsia="zh-TW"/>
              </w:rPr>
              <w:t xml:space="preserve"> </w:t>
            </w:r>
            <w:r w:rsidR="004D230B" w:rsidRPr="004D230B">
              <w:rPr>
                <w:rFonts w:asciiTheme="majorBidi" w:hAnsiTheme="majorBidi" w:cstheme="majorBidi"/>
                <w:b/>
                <w:bCs/>
                <w:sz w:val="22"/>
                <w:szCs w:val="22"/>
                <w:lang w:eastAsia="zh-TW"/>
              </w:rPr>
              <w:t>Enrolled 8/30</w:t>
            </w:r>
          </w:p>
          <w:p w:rsidR="004D230B" w:rsidRPr="001A05FA" w:rsidRDefault="004D230B" w:rsidP="004D230B">
            <w:pPr>
              <w:pStyle w:val="HTMLPreformatted"/>
              <w:rPr>
                <w:rFonts w:asciiTheme="majorBidi" w:hAnsiTheme="majorBidi" w:cstheme="majorBidi"/>
                <w:sz w:val="22"/>
                <w:szCs w:val="22"/>
              </w:rPr>
            </w:pPr>
          </w:p>
        </w:tc>
      </w:tr>
      <w:tr w:rsidR="0031602B" w:rsidRPr="001A05FA" w:rsidTr="0031602B">
        <w:trPr>
          <w:tblCellSpacing w:w="0" w:type="dxa"/>
        </w:trPr>
        <w:tc>
          <w:tcPr>
            <w:tcW w:w="0" w:type="auto"/>
            <w:vAlign w:val="center"/>
            <w:hideMark/>
          </w:tcPr>
          <w:p w:rsidR="0031602B" w:rsidRPr="001A05FA" w:rsidRDefault="0031602B">
            <w:pPr>
              <w:rPr>
                <w:rFonts w:ascii="Arial" w:hAnsi="Arial" w:cs="Arial"/>
                <w:color w:val="6E6E6E"/>
                <w:sz w:val="22"/>
                <w:szCs w:val="22"/>
              </w:rPr>
            </w:pPr>
          </w:p>
        </w:tc>
      </w:tr>
    </w:tbl>
    <w:p w:rsidR="00B23D24" w:rsidRPr="001A05FA" w:rsidRDefault="00314E1F" w:rsidP="00314E1F">
      <w:pPr>
        <w:rPr>
          <w:b/>
          <w:bCs/>
          <w:sz w:val="22"/>
          <w:szCs w:val="22"/>
          <w:u w:val="single"/>
        </w:rPr>
      </w:pPr>
      <w:r w:rsidRPr="001A05FA">
        <w:rPr>
          <w:b/>
          <w:bCs/>
          <w:sz w:val="22"/>
          <w:szCs w:val="22"/>
          <w:u w:val="single"/>
        </w:rPr>
        <w:t>Con for Concern</w:t>
      </w:r>
    </w:p>
    <w:p w:rsidR="00B23D24" w:rsidRPr="00B51416" w:rsidRDefault="00B23D24" w:rsidP="00B23D24">
      <w:pPr>
        <w:rPr>
          <w:rFonts w:asciiTheme="majorBidi" w:hAnsiTheme="majorBidi" w:cstheme="majorBidi"/>
          <w:b/>
          <w:bCs/>
          <w:sz w:val="22"/>
          <w:szCs w:val="22"/>
          <w:u w:val="single"/>
        </w:rPr>
      </w:pPr>
    </w:p>
    <w:p w:rsidR="00B51416" w:rsidRPr="00B51416" w:rsidRDefault="00B23D24" w:rsidP="004D230B">
      <w:pPr>
        <w:pStyle w:val="HTMLPreformatted"/>
        <w:rPr>
          <w:rFonts w:asciiTheme="majorBidi" w:hAnsiTheme="majorBidi" w:cstheme="majorBidi"/>
          <w:sz w:val="22"/>
          <w:szCs w:val="22"/>
          <w:lang w:eastAsia="zh-TW"/>
        </w:rPr>
      </w:pPr>
      <w:r w:rsidRPr="00B51416">
        <w:rPr>
          <w:rFonts w:asciiTheme="majorBidi" w:hAnsiTheme="majorBidi" w:cstheme="majorBidi"/>
          <w:b/>
          <w:bCs/>
          <w:sz w:val="22"/>
          <w:szCs w:val="22"/>
        </w:rPr>
        <w:t>A</w:t>
      </w:r>
      <w:r w:rsidR="00A24E2D" w:rsidRPr="00B51416">
        <w:rPr>
          <w:rFonts w:asciiTheme="majorBidi" w:hAnsiTheme="majorBidi" w:cstheme="majorBidi"/>
          <w:b/>
          <w:bCs/>
          <w:sz w:val="22"/>
          <w:szCs w:val="22"/>
        </w:rPr>
        <w:t xml:space="preserve">B </w:t>
      </w:r>
      <w:r w:rsidRPr="00B51416">
        <w:rPr>
          <w:rFonts w:asciiTheme="majorBidi" w:hAnsiTheme="majorBidi" w:cstheme="majorBidi"/>
          <w:b/>
          <w:bCs/>
          <w:sz w:val="22"/>
          <w:szCs w:val="22"/>
        </w:rPr>
        <w:t>1522 (</w:t>
      </w:r>
      <w:r w:rsidR="00A24E2D" w:rsidRPr="00B51416">
        <w:rPr>
          <w:rFonts w:asciiTheme="majorBidi" w:hAnsiTheme="majorBidi" w:cstheme="majorBidi"/>
          <w:b/>
          <w:bCs/>
          <w:sz w:val="22"/>
          <w:szCs w:val="22"/>
        </w:rPr>
        <w:t>Gonzalez D – San Diego) Paid Sick Leave</w:t>
      </w:r>
      <w:r w:rsidR="00A24E2D" w:rsidRPr="00B51416">
        <w:rPr>
          <w:rFonts w:asciiTheme="majorBidi" w:hAnsiTheme="majorBidi" w:cstheme="majorBidi"/>
          <w:sz w:val="22"/>
          <w:szCs w:val="22"/>
        </w:rPr>
        <w:t>. This bill would qualify an employee who works 7 days in a year for sic</w:t>
      </w:r>
      <w:r w:rsidR="0080176C" w:rsidRPr="00B51416">
        <w:rPr>
          <w:rFonts w:asciiTheme="majorBidi" w:hAnsiTheme="majorBidi" w:cstheme="majorBidi"/>
          <w:sz w:val="22"/>
          <w:szCs w:val="22"/>
        </w:rPr>
        <w:t xml:space="preserve">k leave. </w:t>
      </w:r>
      <w:r w:rsidR="004D230B">
        <w:rPr>
          <w:rFonts w:asciiTheme="majorBidi" w:hAnsiTheme="majorBidi" w:cstheme="majorBidi"/>
          <w:b/>
          <w:bCs/>
          <w:sz w:val="22"/>
          <w:szCs w:val="22"/>
        </w:rPr>
        <w:t>Enrolled 8/30.</w:t>
      </w:r>
    </w:p>
    <w:p w:rsidR="00A24E2D" w:rsidRPr="001A05FA" w:rsidRDefault="00A24E2D" w:rsidP="00A24E2D">
      <w:pPr>
        <w:rPr>
          <w:sz w:val="22"/>
          <w:szCs w:val="22"/>
        </w:rPr>
      </w:pPr>
    </w:p>
    <w:p w:rsidR="00B23D24" w:rsidRPr="00BB083A" w:rsidRDefault="00A24E2D" w:rsidP="008A62D9">
      <w:pPr>
        <w:rPr>
          <w:rFonts w:asciiTheme="majorBidi" w:hAnsiTheme="majorBidi" w:cstheme="majorBidi"/>
          <w:color w:val="FF0000"/>
          <w:sz w:val="22"/>
          <w:szCs w:val="22"/>
        </w:rPr>
      </w:pPr>
      <w:r w:rsidRPr="001A05FA">
        <w:rPr>
          <w:b/>
          <w:bCs/>
          <w:sz w:val="22"/>
          <w:szCs w:val="22"/>
        </w:rPr>
        <w:t>SB 935 (Leno D – San Francisco) $13 Minimum Wage</w:t>
      </w:r>
      <w:r w:rsidRPr="001A05FA">
        <w:rPr>
          <w:sz w:val="22"/>
          <w:szCs w:val="22"/>
        </w:rPr>
        <w:t xml:space="preserve">. </w:t>
      </w:r>
      <w:r w:rsidR="008A62D9" w:rsidRPr="001A05FA">
        <w:rPr>
          <w:sz w:val="22"/>
          <w:szCs w:val="22"/>
        </w:rPr>
        <w:t>This bill would set a minimum wage of $13/hr. starting in 2017 with automatic increases per CPI. Amend</w:t>
      </w:r>
      <w:r w:rsidR="007345AD" w:rsidRPr="001A05FA">
        <w:rPr>
          <w:sz w:val="22"/>
          <w:szCs w:val="22"/>
        </w:rPr>
        <w:t>ed 3/18.</w:t>
      </w:r>
      <w:r w:rsidRPr="001A05FA">
        <w:rPr>
          <w:rFonts w:asciiTheme="majorBidi" w:hAnsiTheme="majorBidi" w:cstheme="majorBidi"/>
          <w:sz w:val="22"/>
          <w:szCs w:val="22"/>
        </w:rPr>
        <w:t xml:space="preserve"> </w:t>
      </w:r>
      <w:r w:rsidR="0080176C" w:rsidRPr="001A05FA">
        <w:rPr>
          <w:rFonts w:asciiTheme="majorBidi" w:hAnsiTheme="majorBidi" w:cstheme="majorBidi"/>
          <w:sz w:val="22"/>
          <w:szCs w:val="22"/>
        </w:rPr>
        <w:t>5/29 -In Assembly. Read first time. Held at Desk.</w:t>
      </w:r>
      <w:r w:rsidR="00BB083A">
        <w:rPr>
          <w:rFonts w:asciiTheme="majorBidi" w:hAnsiTheme="majorBidi" w:cstheme="majorBidi"/>
          <w:sz w:val="22"/>
          <w:szCs w:val="22"/>
        </w:rPr>
        <w:t xml:space="preserve"> </w:t>
      </w:r>
      <w:r w:rsidR="00BB083A">
        <w:rPr>
          <w:rFonts w:asciiTheme="majorBidi" w:hAnsiTheme="majorBidi" w:cstheme="majorBidi"/>
          <w:color w:val="FF0000"/>
          <w:sz w:val="22"/>
          <w:szCs w:val="22"/>
        </w:rPr>
        <w:t xml:space="preserve">6/25 </w:t>
      </w:r>
      <w:r w:rsidR="00BB083A" w:rsidRPr="00B51416">
        <w:rPr>
          <w:rFonts w:asciiTheme="majorBidi" w:hAnsiTheme="majorBidi" w:cstheme="majorBidi"/>
          <w:b/>
          <w:bCs/>
          <w:color w:val="FF0000"/>
          <w:sz w:val="22"/>
          <w:szCs w:val="22"/>
        </w:rPr>
        <w:t>DEAD</w:t>
      </w:r>
      <w:r w:rsidR="00BB083A">
        <w:rPr>
          <w:rFonts w:asciiTheme="majorBidi" w:hAnsiTheme="majorBidi" w:cstheme="majorBidi"/>
          <w:color w:val="FF0000"/>
          <w:sz w:val="22"/>
          <w:szCs w:val="22"/>
        </w:rPr>
        <w:t>.</w:t>
      </w:r>
    </w:p>
    <w:p w:rsidR="008A62D9" w:rsidRPr="001A05FA" w:rsidRDefault="008A62D9" w:rsidP="008A62D9">
      <w:pPr>
        <w:rPr>
          <w:sz w:val="22"/>
          <w:szCs w:val="22"/>
        </w:rPr>
      </w:pPr>
    </w:p>
    <w:p w:rsidR="008A62D9" w:rsidRPr="004D230B" w:rsidRDefault="008A62D9" w:rsidP="008F14A2">
      <w:pPr>
        <w:pStyle w:val="HTMLPreformatted"/>
        <w:rPr>
          <w:rFonts w:asciiTheme="majorBidi" w:hAnsiTheme="majorBidi" w:cstheme="majorBidi"/>
          <w:b/>
          <w:bCs/>
          <w:sz w:val="22"/>
          <w:szCs w:val="22"/>
          <w:lang w:eastAsia="zh-TW"/>
        </w:rPr>
      </w:pPr>
      <w:r w:rsidRPr="001A05FA">
        <w:rPr>
          <w:rFonts w:asciiTheme="majorBidi" w:hAnsiTheme="majorBidi" w:cstheme="majorBidi"/>
          <w:b/>
          <w:bCs/>
          <w:sz w:val="22"/>
          <w:szCs w:val="22"/>
        </w:rPr>
        <w:t>AB 1634 (Skinner D – Berkeley)</w:t>
      </w:r>
      <w:r w:rsidR="00B049E4" w:rsidRPr="001A05FA">
        <w:rPr>
          <w:rFonts w:asciiTheme="majorBidi" w:hAnsiTheme="majorBidi" w:cstheme="majorBidi"/>
          <w:b/>
          <w:bCs/>
          <w:sz w:val="22"/>
          <w:szCs w:val="22"/>
        </w:rPr>
        <w:t xml:space="preserve"> OSHA Violations; appeals</w:t>
      </w:r>
      <w:r w:rsidR="00B049E4" w:rsidRPr="001A05FA">
        <w:rPr>
          <w:rFonts w:asciiTheme="majorBidi" w:hAnsiTheme="majorBidi" w:cstheme="majorBidi"/>
          <w:sz w:val="22"/>
          <w:szCs w:val="22"/>
        </w:rPr>
        <w:t xml:space="preserve">. </w:t>
      </w:r>
      <w:r w:rsidRPr="001A05FA">
        <w:rPr>
          <w:rFonts w:asciiTheme="majorBidi" w:hAnsiTheme="majorBidi" w:cstheme="majorBidi"/>
          <w:sz w:val="22"/>
          <w:szCs w:val="22"/>
          <w:lang w:eastAsia="zh-TW"/>
        </w:rPr>
        <w:t>Enacts various provisions of law related to an employer's obligation to abate an alleged hazard pending appeal of a citation.</w:t>
      </w:r>
      <w:r w:rsidR="007345AD" w:rsidRPr="001A05FA">
        <w:rPr>
          <w:rFonts w:asciiTheme="majorBidi" w:hAnsiTheme="majorBidi" w:cstheme="majorBidi"/>
          <w:sz w:val="22"/>
          <w:szCs w:val="22"/>
          <w:lang w:eastAsia="zh-TW"/>
        </w:rPr>
        <w:t xml:space="preserve"> </w:t>
      </w:r>
      <w:r w:rsidR="004D230B">
        <w:rPr>
          <w:rFonts w:asciiTheme="majorBidi" w:hAnsiTheme="majorBidi" w:cstheme="majorBidi"/>
          <w:b/>
          <w:bCs/>
          <w:sz w:val="22"/>
          <w:szCs w:val="22"/>
        </w:rPr>
        <w:t>Enrolled 8/28.</w:t>
      </w:r>
    </w:p>
    <w:p w:rsidR="00B049E4" w:rsidRPr="001A05FA" w:rsidRDefault="00B049E4" w:rsidP="00B049E4">
      <w:pPr>
        <w:pStyle w:val="HTMLPreformatted"/>
        <w:rPr>
          <w:rFonts w:asciiTheme="majorBidi" w:hAnsiTheme="majorBidi" w:cstheme="majorBidi"/>
          <w:sz w:val="22"/>
          <w:szCs w:val="22"/>
          <w:lang w:eastAsia="zh-TW"/>
        </w:rPr>
      </w:pPr>
    </w:p>
    <w:p w:rsidR="00382F92" w:rsidRPr="001A05FA" w:rsidRDefault="00B049E4" w:rsidP="008F14A2">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lang w:eastAsia="zh-TW"/>
        </w:rPr>
        <w:t>HR 29 (Gomez D – Los Angeles) Disallow Public Services Outsourcing</w:t>
      </w:r>
      <w:r w:rsidRPr="001A05FA">
        <w:rPr>
          <w:rFonts w:asciiTheme="majorBidi" w:hAnsiTheme="majorBidi" w:cstheme="majorBidi"/>
          <w:sz w:val="22"/>
          <w:szCs w:val="22"/>
          <w:lang w:eastAsia="zh-TW"/>
        </w:rPr>
        <w:t>.</w:t>
      </w:r>
      <w:r w:rsidR="008F14A2" w:rsidRPr="001A05FA">
        <w:rPr>
          <w:rFonts w:ascii="Arial" w:hAnsi="Arial" w:cs="Arial"/>
          <w:color w:val="6E6E6E"/>
          <w:sz w:val="22"/>
          <w:szCs w:val="22"/>
        </w:rPr>
        <w:t xml:space="preserve"> </w:t>
      </w:r>
      <w:r w:rsidR="008F14A2" w:rsidRPr="001A05FA">
        <w:rPr>
          <w:rFonts w:asciiTheme="majorBidi" w:hAnsiTheme="majorBidi" w:cstheme="majorBidi"/>
          <w:sz w:val="22"/>
          <w:szCs w:val="22"/>
        </w:rPr>
        <w:t>The Assembly opposes outsourcing of public services and assets, which harms transparency, accountability, shared prosperity, and competition, and supports processes that give public service workers the opportunity to develop their own plan on how to deliver cost-effective, high-quality services. The Assembly urges local officials to become familiar with the provisions of the Taxpayer Empowerment Agenda. The Assembly intends to introduce and advocate for responsible outsourcing legislation.</w:t>
      </w:r>
      <w:r w:rsidRPr="001A05FA">
        <w:rPr>
          <w:rFonts w:asciiTheme="majorBidi" w:hAnsiTheme="majorBidi" w:cstheme="majorBidi"/>
          <w:sz w:val="22"/>
          <w:szCs w:val="22"/>
          <w:lang w:eastAsia="zh-TW"/>
        </w:rPr>
        <w:t xml:space="preserve"> </w:t>
      </w:r>
      <w:r w:rsidR="008F14A2" w:rsidRPr="001A05FA">
        <w:rPr>
          <w:rFonts w:asciiTheme="majorBidi" w:hAnsiTheme="majorBidi" w:cstheme="majorBidi"/>
          <w:b/>
          <w:bCs/>
          <w:sz w:val="22"/>
          <w:szCs w:val="22"/>
          <w:lang w:eastAsia="zh-TW"/>
        </w:rPr>
        <w:t>Chaptered 4/3</w:t>
      </w:r>
      <w:r w:rsidR="008F14A2" w:rsidRPr="001A05FA">
        <w:rPr>
          <w:rFonts w:asciiTheme="majorBidi" w:hAnsiTheme="majorBidi" w:cstheme="majorBidi"/>
          <w:sz w:val="22"/>
          <w:szCs w:val="22"/>
          <w:lang w:eastAsia="zh-TW"/>
        </w:rPr>
        <w:t>.</w:t>
      </w:r>
    </w:p>
    <w:p w:rsidR="008F14A2" w:rsidRPr="001A05FA" w:rsidRDefault="008F14A2" w:rsidP="008F14A2">
      <w:pPr>
        <w:pStyle w:val="HTMLPreformatted"/>
        <w:rPr>
          <w:rFonts w:asciiTheme="majorBidi" w:hAnsiTheme="majorBidi" w:cstheme="majorBidi"/>
          <w:sz w:val="22"/>
          <w:szCs w:val="22"/>
          <w:lang w:eastAsia="zh-TW"/>
        </w:rPr>
      </w:pPr>
    </w:p>
    <w:p w:rsidR="008F14A2" w:rsidRPr="001A05FA" w:rsidRDefault="008F14A2" w:rsidP="00037362">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lang w:eastAsia="zh-TW"/>
        </w:rPr>
        <w:t>AB 52 (Gatto</w:t>
      </w:r>
      <w:r w:rsidR="002638CD" w:rsidRPr="001A05FA">
        <w:rPr>
          <w:rFonts w:asciiTheme="majorBidi" w:hAnsiTheme="majorBidi" w:cstheme="majorBidi"/>
          <w:b/>
          <w:bCs/>
          <w:sz w:val="22"/>
          <w:szCs w:val="22"/>
          <w:lang w:eastAsia="zh-TW"/>
        </w:rPr>
        <w:t xml:space="preserve"> D - Burbank</w:t>
      </w:r>
      <w:r w:rsidRPr="001A05FA">
        <w:rPr>
          <w:rFonts w:asciiTheme="majorBidi" w:hAnsiTheme="majorBidi" w:cstheme="majorBidi"/>
          <w:b/>
          <w:bCs/>
          <w:sz w:val="22"/>
          <w:szCs w:val="22"/>
          <w:lang w:eastAsia="zh-TW"/>
        </w:rPr>
        <w:t>) Native Americans: CEQA. CEQA Consultation with Tribes</w:t>
      </w:r>
      <w:r w:rsidRPr="001A05FA">
        <w:rPr>
          <w:rFonts w:asciiTheme="majorBidi" w:hAnsiTheme="majorBidi" w:cstheme="majorBidi"/>
          <w:sz w:val="22"/>
          <w:szCs w:val="22"/>
          <w:lang w:eastAsia="zh-TW"/>
        </w:rPr>
        <w:t xml:space="preserve">. Creates new opportunities for CEQA litigation by requiring lead agencies to engage in “meaningful consultation” with Native American tribes regarding land use projects that could have an adverse impact on a tribal cultural resource. </w:t>
      </w:r>
      <w:r w:rsidR="004D230B" w:rsidRPr="004D230B">
        <w:rPr>
          <w:rFonts w:asciiTheme="majorBidi" w:hAnsiTheme="majorBidi" w:cstheme="majorBidi"/>
          <w:b/>
          <w:bCs/>
          <w:sz w:val="22"/>
          <w:szCs w:val="22"/>
          <w:lang w:eastAsia="zh-TW"/>
        </w:rPr>
        <w:t>Enrolled 8/28</w:t>
      </w:r>
    </w:p>
    <w:p w:rsidR="008F14A2" w:rsidRPr="001A05FA" w:rsidRDefault="008F14A2" w:rsidP="008F14A2">
      <w:pPr>
        <w:pStyle w:val="HTMLPreformatted"/>
        <w:rPr>
          <w:rFonts w:asciiTheme="majorBidi" w:hAnsiTheme="majorBidi" w:cstheme="majorBidi"/>
          <w:sz w:val="22"/>
          <w:szCs w:val="22"/>
          <w:lang w:eastAsia="zh-TW"/>
        </w:rPr>
      </w:pPr>
    </w:p>
    <w:p w:rsidR="005125E4" w:rsidRPr="004D230B" w:rsidRDefault="005125E4" w:rsidP="00037362">
      <w:pPr>
        <w:pStyle w:val="HTMLPreformatted"/>
        <w:rPr>
          <w:rFonts w:asciiTheme="majorBidi" w:hAnsiTheme="majorBidi" w:cstheme="majorBidi"/>
          <w:b/>
          <w:bCs/>
          <w:sz w:val="22"/>
          <w:szCs w:val="22"/>
        </w:rPr>
      </w:pPr>
      <w:r w:rsidRPr="001A05FA">
        <w:rPr>
          <w:rFonts w:asciiTheme="majorBidi" w:hAnsiTheme="majorBidi" w:cstheme="majorBidi"/>
          <w:b/>
          <w:bCs/>
          <w:sz w:val="22"/>
          <w:szCs w:val="22"/>
          <w:lang w:eastAsia="zh-TW"/>
        </w:rPr>
        <w:t>*AB 2416 (Stone D - Monterey) Liens: Laborers and employees</w:t>
      </w:r>
      <w:r w:rsidRPr="001A05FA">
        <w:rPr>
          <w:rFonts w:asciiTheme="majorBidi" w:hAnsiTheme="majorBidi" w:cstheme="majorBidi"/>
          <w:sz w:val="22"/>
          <w:szCs w:val="22"/>
          <w:lang w:eastAsia="zh-TW"/>
        </w:rPr>
        <w:t xml:space="preserve">. </w:t>
      </w:r>
      <w:r w:rsidRPr="001A05FA">
        <w:rPr>
          <w:rFonts w:asciiTheme="majorBidi" w:hAnsiTheme="majorBidi" w:cstheme="majorBidi"/>
          <w:sz w:val="22"/>
          <w:szCs w:val="22"/>
        </w:rPr>
        <w:t xml:space="preserve">This bill would, with certain exceptions, authorize an employee to record and enforce a wage lien upon real and personal property of an employer, or a property owner, as specified, for wages, other compensation, and related penalties and damages owed the employee. </w:t>
      </w:r>
      <w:r w:rsidR="004D230B" w:rsidRPr="004D230B">
        <w:rPr>
          <w:rFonts w:asciiTheme="majorBidi" w:hAnsiTheme="majorBidi" w:cstheme="majorBidi"/>
          <w:b/>
          <w:bCs/>
          <w:sz w:val="22"/>
          <w:szCs w:val="22"/>
        </w:rPr>
        <w:t>Suspended 8/30</w:t>
      </w:r>
    </w:p>
    <w:p w:rsidR="005125E4" w:rsidRPr="001A05FA" w:rsidRDefault="005125E4" w:rsidP="005125E4">
      <w:pPr>
        <w:pStyle w:val="HTMLPreformatted"/>
        <w:rPr>
          <w:rFonts w:asciiTheme="majorBidi" w:hAnsiTheme="majorBidi" w:cstheme="majorBidi"/>
          <w:sz w:val="22"/>
          <w:szCs w:val="22"/>
        </w:rPr>
      </w:pPr>
    </w:p>
    <w:p w:rsidR="002638CD" w:rsidRPr="001A05FA" w:rsidRDefault="002638CD" w:rsidP="00D66B11">
      <w:pPr>
        <w:pStyle w:val="HTMLPreformatted"/>
        <w:rPr>
          <w:rFonts w:asciiTheme="majorBidi" w:hAnsiTheme="majorBidi" w:cstheme="majorBidi"/>
          <w:sz w:val="22"/>
          <w:szCs w:val="22"/>
        </w:rPr>
      </w:pPr>
      <w:r w:rsidRPr="001A05FA">
        <w:rPr>
          <w:rFonts w:asciiTheme="majorBidi" w:hAnsiTheme="majorBidi" w:cstheme="majorBidi"/>
          <w:b/>
          <w:bCs/>
          <w:sz w:val="22"/>
          <w:szCs w:val="22"/>
        </w:rPr>
        <w:t>* AB 1897 (Hernandez, Roger D – West Covina) Labor contracting: client liability</w:t>
      </w:r>
      <w:r w:rsidRPr="001A05FA">
        <w:rPr>
          <w:rFonts w:asciiTheme="majorBidi" w:hAnsiTheme="majorBidi" w:cstheme="majorBidi"/>
          <w:sz w:val="22"/>
          <w:szCs w:val="22"/>
        </w:rPr>
        <w:t>. This bill would require a client employer to share with a labor contractor all civil legal responsibility and civil liability for the payment of wages, the failure to report and pay all required employer contributions, worker contributions, and personal income tax withholdings, and the failure to obtain valid workers' compensation coverage.</w:t>
      </w:r>
      <w:r w:rsidR="004D230B">
        <w:rPr>
          <w:rFonts w:asciiTheme="majorBidi" w:hAnsiTheme="majorBidi" w:cstheme="majorBidi"/>
          <w:sz w:val="22"/>
          <w:szCs w:val="22"/>
        </w:rPr>
        <w:t xml:space="preserve"> </w:t>
      </w:r>
      <w:r w:rsidR="004D230B" w:rsidRPr="004D230B">
        <w:rPr>
          <w:rFonts w:asciiTheme="majorBidi" w:hAnsiTheme="majorBidi" w:cstheme="majorBidi"/>
          <w:b/>
          <w:bCs/>
          <w:sz w:val="22"/>
          <w:szCs w:val="22"/>
        </w:rPr>
        <w:t>Enrolled 8/28</w:t>
      </w:r>
    </w:p>
    <w:tbl>
      <w:tblPr>
        <w:tblW w:w="5000" w:type="pct"/>
        <w:tblCellSpacing w:w="0" w:type="dxa"/>
        <w:tblCellMar>
          <w:left w:w="0" w:type="dxa"/>
          <w:right w:w="0" w:type="dxa"/>
        </w:tblCellMar>
        <w:tblLook w:val="04A0" w:firstRow="1" w:lastRow="0" w:firstColumn="1" w:lastColumn="0" w:noHBand="0" w:noVBand="1"/>
      </w:tblPr>
      <w:tblGrid>
        <w:gridCol w:w="3510"/>
        <w:gridCol w:w="5130"/>
      </w:tblGrid>
      <w:tr w:rsidR="002638CD" w:rsidRPr="002638CD" w:rsidTr="001A05FA">
        <w:trPr>
          <w:tblCellSpacing w:w="0" w:type="dxa"/>
        </w:trPr>
        <w:tc>
          <w:tcPr>
            <w:tcW w:w="2031" w:type="pct"/>
            <w:vAlign w:val="center"/>
          </w:tcPr>
          <w:p w:rsidR="005125E4" w:rsidRPr="002638CD" w:rsidRDefault="005125E4" w:rsidP="002638CD">
            <w:pPr>
              <w:rPr>
                <w:rFonts w:asciiTheme="majorBidi" w:hAnsiTheme="majorBidi" w:cstheme="majorBidi"/>
              </w:rPr>
            </w:pPr>
          </w:p>
        </w:tc>
        <w:tc>
          <w:tcPr>
            <w:tcW w:w="2969" w:type="pct"/>
            <w:vAlign w:val="center"/>
          </w:tcPr>
          <w:p w:rsidR="005125E4" w:rsidRPr="002638CD" w:rsidRDefault="005125E4">
            <w:pPr>
              <w:rPr>
                <w:rFonts w:asciiTheme="majorBidi" w:hAnsiTheme="majorBidi" w:cstheme="majorBidi"/>
              </w:rPr>
            </w:pPr>
          </w:p>
        </w:tc>
      </w:tr>
    </w:tbl>
    <w:p w:rsidR="00B049E4" w:rsidRPr="00CF341E" w:rsidRDefault="00B049E4" w:rsidP="004768FA">
      <w:pPr>
        <w:pStyle w:val="HTMLPreformatted"/>
        <w:rPr>
          <w:rFonts w:asciiTheme="majorBidi" w:hAnsiTheme="majorBidi" w:cstheme="majorBidi"/>
          <w:sz w:val="24"/>
          <w:szCs w:val="24"/>
        </w:rPr>
      </w:pPr>
    </w:p>
    <w:sectPr w:rsidR="00B049E4" w:rsidRPr="00CF341E" w:rsidSect="00261D8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AF" w:rsidRDefault="00736EAF" w:rsidP="007345AD">
      <w:r>
        <w:separator/>
      </w:r>
    </w:p>
  </w:endnote>
  <w:endnote w:type="continuationSeparator" w:id="0">
    <w:p w:rsidR="00736EAF" w:rsidRDefault="00736EAF" w:rsidP="007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EC" w:rsidRPr="00607EEC" w:rsidRDefault="00607EEC" w:rsidP="00607EEC">
    <w:pPr>
      <w:pStyle w:val="HTMLPreformatted"/>
      <w:rPr>
        <w:rFonts w:asciiTheme="majorBidi" w:hAnsiTheme="majorBidi" w:cstheme="majorBidi"/>
      </w:rPr>
    </w:pPr>
    <w:r w:rsidRPr="00607EEC">
      <w:rPr>
        <w:rFonts w:asciiTheme="majorBidi" w:hAnsiTheme="majorBidi" w:cstheme="majorBidi"/>
      </w:rPr>
      <w:t>* This bill recently added to DVBA list.</w:t>
    </w:r>
  </w:p>
  <w:p w:rsidR="00607EEC" w:rsidRDefault="00607EEC" w:rsidP="00607EEC">
    <w:pPr>
      <w:pStyle w:val="Footer"/>
    </w:pPr>
  </w:p>
  <w:p w:rsidR="00607EEC" w:rsidRDefault="0060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AF" w:rsidRDefault="00736EAF" w:rsidP="007345AD">
      <w:r>
        <w:separator/>
      </w:r>
    </w:p>
  </w:footnote>
  <w:footnote w:type="continuationSeparator" w:id="0">
    <w:p w:rsidR="00736EAF" w:rsidRDefault="00736EAF" w:rsidP="00734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A4721"/>
    <w:multiLevelType w:val="hybridMultilevel"/>
    <w:tmpl w:val="2B68BEEE"/>
    <w:lvl w:ilvl="0" w:tplc="7C4E39C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155CD"/>
    <w:multiLevelType w:val="hybridMultilevel"/>
    <w:tmpl w:val="2C0E84E8"/>
    <w:lvl w:ilvl="0" w:tplc="E662FAE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38E2"/>
    <w:multiLevelType w:val="hybridMultilevel"/>
    <w:tmpl w:val="5FE2E0A0"/>
    <w:lvl w:ilvl="0" w:tplc="63C84D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ED"/>
    <w:rsid w:val="00013F3F"/>
    <w:rsid w:val="00037362"/>
    <w:rsid w:val="00070F3A"/>
    <w:rsid w:val="00071C7B"/>
    <w:rsid w:val="000B4E65"/>
    <w:rsid w:val="000E53D0"/>
    <w:rsid w:val="000F2FA9"/>
    <w:rsid w:val="00101820"/>
    <w:rsid w:val="001642B0"/>
    <w:rsid w:val="00186E7B"/>
    <w:rsid w:val="001A05FA"/>
    <w:rsid w:val="001A258B"/>
    <w:rsid w:val="001B2683"/>
    <w:rsid w:val="001D08A6"/>
    <w:rsid w:val="001F0DEF"/>
    <w:rsid w:val="00261D8F"/>
    <w:rsid w:val="002638CD"/>
    <w:rsid w:val="002764A1"/>
    <w:rsid w:val="002C79EA"/>
    <w:rsid w:val="002C7B8A"/>
    <w:rsid w:val="00314E1F"/>
    <w:rsid w:val="0031602B"/>
    <w:rsid w:val="00326F16"/>
    <w:rsid w:val="00361677"/>
    <w:rsid w:val="00382F92"/>
    <w:rsid w:val="00387923"/>
    <w:rsid w:val="0043693D"/>
    <w:rsid w:val="004768FA"/>
    <w:rsid w:val="00493D9A"/>
    <w:rsid w:val="004A10C3"/>
    <w:rsid w:val="004D230B"/>
    <w:rsid w:val="005125E4"/>
    <w:rsid w:val="00516993"/>
    <w:rsid w:val="0058123E"/>
    <w:rsid w:val="005E01F9"/>
    <w:rsid w:val="00607EEC"/>
    <w:rsid w:val="00627C75"/>
    <w:rsid w:val="00630ABE"/>
    <w:rsid w:val="00643642"/>
    <w:rsid w:val="006A501B"/>
    <w:rsid w:val="007345AD"/>
    <w:rsid w:val="0073676B"/>
    <w:rsid w:val="00736EAF"/>
    <w:rsid w:val="00746848"/>
    <w:rsid w:val="0077064B"/>
    <w:rsid w:val="007A415B"/>
    <w:rsid w:val="007E3F66"/>
    <w:rsid w:val="0080176C"/>
    <w:rsid w:val="00815C5E"/>
    <w:rsid w:val="00825C9F"/>
    <w:rsid w:val="00845FF7"/>
    <w:rsid w:val="00871323"/>
    <w:rsid w:val="008929C0"/>
    <w:rsid w:val="00896A15"/>
    <w:rsid w:val="008A62D9"/>
    <w:rsid w:val="008F14A2"/>
    <w:rsid w:val="00906FD3"/>
    <w:rsid w:val="009377ED"/>
    <w:rsid w:val="00975E25"/>
    <w:rsid w:val="00982DE5"/>
    <w:rsid w:val="00987D41"/>
    <w:rsid w:val="009B42E9"/>
    <w:rsid w:val="009D2E1C"/>
    <w:rsid w:val="00A04845"/>
    <w:rsid w:val="00A24E2D"/>
    <w:rsid w:val="00A654C4"/>
    <w:rsid w:val="00A95DEB"/>
    <w:rsid w:val="00AB4EFF"/>
    <w:rsid w:val="00AC42BD"/>
    <w:rsid w:val="00AD24EB"/>
    <w:rsid w:val="00B049E4"/>
    <w:rsid w:val="00B104BA"/>
    <w:rsid w:val="00B23D24"/>
    <w:rsid w:val="00B51416"/>
    <w:rsid w:val="00BB083A"/>
    <w:rsid w:val="00BC59BC"/>
    <w:rsid w:val="00BE5AD0"/>
    <w:rsid w:val="00C008ED"/>
    <w:rsid w:val="00C16DBD"/>
    <w:rsid w:val="00C5608C"/>
    <w:rsid w:val="00C57746"/>
    <w:rsid w:val="00C7310B"/>
    <w:rsid w:val="00CF341E"/>
    <w:rsid w:val="00D1772C"/>
    <w:rsid w:val="00D56AED"/>
    <w:rsid w:val="00D66B11"/>
    <w:rsid w:val="00D77480"/>
    <w:rsid w:val="00D915DB"/>
    <w:rsid w:val="00DB513C"/>
    <w:rsid w:val="00E43B7D"/>
    <w:rsid w:val="00E66E5E"/>
    <w:rsid w:val="00EA6DC6"/>
    <w:rsid w:val="00EB5B28"/>
    <w:rsid w:val="00EC14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E4DCD-F96D-4935-BA85-D8176DB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C1470"/>
    <w:rPr>
      <w:rFonts w:ascii="Segoe UI" w:hAnsi="Segoe UI" w:cs="Segoe UI"/>
      <w:sz w:val="18"/>
      <w:szCs w:val="18"/>
    </w:rPr>
  </w:style>
  <w:style w:type="character" w:customStyle="1" w:styleId="BalloonTextChar">
    <w:name w:val="Balloon Text Char"/>
    <w:basedOn w:val="DefaultParagraphFont"/>
    <w:link w:val="BalloonText"/>
    <w:semiHidden/>
    <w:rsid w:val="00EC1470"/>
    <w:rPr>
      <w:rFonts w:ascii="Segoe UI" w:hAnsi="Segoe UI" w:cs="Segoe UI"/>
      <w:sz w:val="18"/>
      <w:szCs w:val="18"/>
    </w:rPr>
  </w:style>
  <w:style w:type="paragraph" w:styleId="Date">
    <w:name w:val="Date"/>
    <w:basedOn w:val="Normal"/>
    <w:next w:val="Normal"/>
    <w:link w:val="DateChar"/>
    <w:rsid w:val="002764A1"/>
  </w:style>
  <w:style w:type="character" w:customStyle="1" w:styleId="DateChar">
    <w:name w:val="Date Char"/>
    <w:basedOn w:val="DefaultParagraphFont"/>
    <w:link w:val="Date"/>
    <w:rsid w:val="002764A1"/>
    <w:rPr>
      <w:sz w:val="24"/>
      <w:szCs w:val="24"/>
    </w:rPr>
  </w:style>
  <w:style w:type="paragraph" w:styleId="HTMLPreformatted">
    <w:name w:val="HTML Preformatted"/>
    <w:basedOn w:val="Normal"/>
    <w:link w:val="HTMLPreformattedChar"/>
    <w:unhideWhenUsed/>
    <w:rsid w:val="00516993"/>
    <w:rPr>
      <w:rFonts w:ascii="Consolas" w:hAnsi="Consolas" w:cs="Consolas"/>
      <w:sz w:val="20"/>
      <w:szCs w:val="20"/>
    </w:rPr>
  </w:style>
  <w:style w:type="character" w:customStyle="1" w:styleId="HTMLPreformattedChar">
    <w:name w:val="HTML Preformatted Char"/>
    <w:basedOn w:val="DefaultParagraphFont"/>
    <w:link w:val="HTMLPreformatted"/>
    <w:rsid w:val="00516993"/>
    <w:rPr>
      <w:rFonts w:ascii="Consolas" w:hAnsi="Consolas" w:cs="Consolas"/>
    </w:rPr>
  </w:style>
  <w:style w:type="paragraph" w:styleId="Header">
    <w:name w:val="header"/>
    <w:basedOn w:val="Normal"/>
    <w:link w:val="HeaderChar"/>
    <w:unhideWhenUsed/>
    <w:rsid w:val="007345AD"/>
    <w:pPr>
      <w:tabs>
        <w:tab w:val="center" w:pos="4680"/>
        <w:tab w:val="right" w:pos="9360"/>
      </w:tabs>
    </w:pPr>
  </w:style>
  <w:style w:type="character" w:customStyle="1" w:styleId="HeaderChar">
    <w:name w:val="Header Char"/>
    <w:basedOn w:val="DefaultParagraphFont"/>
    <w:link w:val="Header"/>
    <w:rsid w:val="007345AD"/>
    <w:rPr>
      <w:sz w:val="24"/>
      <w:szCs w:val="24"/>
    </w:rPr>
  </w:style>
  <w:style w:type="paragraph" w:styleId="Footer">
    <w:name w:val="footer"/>
    <w:basedOn w:val="Normal"/>
    <w:link w:val="FooterChar"/>
    <w:uiPriority w:val="99"/>
    <w:unhideWhenUsed/>
    <w:rsid w:val="007345AD"/>
    <w:pPr>
      <w:tabs>
        <w:tab w:val="center" w:pos="4680"/>
        <w:tab w:val="right" w:pos="9360"/>
      </w:tabs>
    </w:pPr>
  </w:style>
  <w:style w:type="character" w:customStyle="1" w:styleId="FooterChar">
    <w:name w:val="Footer Char"/>
    <w:basedOn w:val="DefaultParagraphFont"/>
    <w:link w:val="Footer"/>
    <w:uiPriority w:val="99"/>
    <w:rsid w:val="007345AD"/>
    <w:rPr>
      <w:sz w:val="24"/>
      <w:szCs w:val="24"/>
    </w:rPr>
  </w:style>
  <w:style w:type="character" w:styleId="Hyperlink">
    <w:name w:val="Hyperlink"/>
    <w:basedOn w:val="DefaultParagraphFont"/>
    <w:uiPriority w:val="99"/>
    <w:semiHidden/>
    <w:unhideWhenUsed/>
    <w:rsid w:val="005125E4"/>
    <w:rPr>
      <w:color w:val="46868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74">
      <w:bodyDiv w:val="1"/>
      <w:marLeft w:val="0"/>
      <w:marRight w:val="0"/>
      <w:marTop w:val="0"/>
      <w:marBottom w:val="0"/>
      <w:divBdr>
        <w:top w:val="none" w:sz="0" w:space="0" w:color="auto"/>
        <w:left w:val="none" w:sz="0" w:space="0" w:color="auto"/>
        <w:bottom w:val="none" w:sz="0" w:space="0" w:color="auto"/>
        <w:right w:val="none" w:sz="0" w:space="0" w:color="auto"/>
      </w:divBdr>
    </w:div>
    <w:div w:id="978148423">
      <w:bodyDiv w:val="1"/>
      <w:marLeft w:val="0"/>
      <w:marRight w:val="0"/>
      <w:marTop w:val="0"/>
      <w:marBottom w:val="0"/>
      <w:divBdr>
        <w:top w:val="none" w:sz="0" w:space="0" w:color="auto"/>
        <w:left w:val="none" w:sz="0" w:space="0" w:color="auto"/>
        <w:bottom w:val="none" w:sz="0" w:space="0" w:color="auto"/>
        <w:right w:val="none" w:sz="0" w:space="0" w:color="auto"/>
      </w:divBdr>
    </w:div>
    <w:div w:id="1086534289">
      <w:bodyDiv w:val="1"/>
      <w:marLeft w:val="0"/>
      <w:marRight w:val="0"/>
      <w:marTop w:val="390"/>
      <w:marBottom w:val="0"/>
      <w:divBdr>
        <w:top w:val="none" w:sz="0" w:space="0" w:color="auto"/>
        <w:left w:val="none" w:sz="0" w:space="0" w:color="auto"/>
        <w:bottom w:val="none" w:sz="0" w:space="0" w:color="auto"/>
        <w:right w:val="none" w:sz="0" w:space="0" w:color="auto"/>
      </w:divBdr>
      <w:divsChild>
        <w:div w:id="203181894">
          <w:marLeft w:val="0"/>
          <w:marRight w:val="0"/>
          <w:marTop w:val="0"/>
          <w:marBottom w:val="0"/>
          <w:divBdr>
            <w:top w:val="none" w:sz="0" w:space="0" w:color="auto"/>
            <w:left w:val="none" w:sz="0" w:space="0" w:color="auto"/>
            <w:bottom w:val="none" w:sz="0" w:space="0" w:color="auto"/>
            <w:right w:val="none" w:sz="0" w:space="0" w:color="auto"/>
          </w:divBdr>
        </w:div>
      </w:divsChild>
    </w:div>
    <w:div w:id="1292832227">
      <w:bodyDiv w:val="1"/>
      <w:marLeft w:val="0"/>
      <w:marRight w:val="0"/>
      <w:marTop w:val="0"/>
      <w:marBottom w:val="0"/>
      <w:divBdr>
        <w:top w:val="none" w:sz="0" w:space="0" w:color="auto"/>
        <w:left w:val="none" w:sz="0" w:space="0" w:color="auto"/>
        <w:bottom w:val="none" w:sz="0" w:space="0" w:color="auto"/>
        <w:right w:val="none" w:sz="0" w:space="0" w:color="auto"/>
      </w:divBdr>
    </w:div>
    <w:div w:id="1776486026">
      <w:bodyDiv w:val="1"/>
      <w:marLeft w:val="0"/>
      <w:marRight w:val="0"/>
      <w:marTop w:val="0"/>
      <w:marBottom w:val="0"/>
      <w:divBdr>
        <w:top w:val="none" w:sz="0" w:space="0" w:color="auto"/>
        <w:left w:val="none" w:sz="0" w:space="0" w:color="auto"/>
        <w:bottom w:val="none" w:sz="0" w:space="0" w:color="auto"/>
        <w:right w:val="none" w:sz="0" w:space="0" w:color="auto"/>
      </w:divBdr>
    </w:div>
    <w:div w:id="1783067042">
      <w:bodyDiv w:val="1"/>
      <w:marLeft w:val="0"/>
      <w:marRight w:val="0"/>
      <w:marTop w:val="390"/>
      <w:marBottom w:val="0"/>
      <w:divBdr>
        <w:top w:val="none" w:sz="0" w:space="0" w:color="auto"/>
        <w:left w:val="none" w:sz="0" w:space="0" w:color="auto"/>
        <w:bottom w:val="none" w:sz="0" w:space="0" w:color="auto"/>
        <w:right w:val="none" w:sz="0" w:space="0" w:color="auto"/>
      </w:divBdr>
      <w:divsChild>
        <w:div w:id="2133590646">
          <w:marLeft w:val="0"/>
          <w:marRight w:val="0"/>
          <w:marTop w:val="0"/>
          <w:marBottom w:val="0"/>
          <w:divBdr>
            <w:top w:val="none" w:sz="0" w:space="0" w:color="auto"/>
            <w:left w:val="none" w:sz="0" w:space="0" w:color="auto"/>
            <w:bottom w:val="none" w:sz="0" w:space="0" w:color="auto"/>
            <w:right w:val="none" w:sz="0" w:space="0" w:color="auto"/>
          </w:divBdr>
        </w:div>
      </w:divsChild>
    </w:div>
    <w:div w:id="20607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F41C-D251-4C6A-8925-870BF968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Brownyard</dc:creator>
  <cp:keywords/>
  <dc:description/>
  <cp:lastModifiedBy>Gretchen Gutierrez</cp:lastModifiedBy>
  <cp:revision>2</cp:revision>
  <cp:lastPrinted>2014-06-30T20:57:00Z</cp:lastPrinted>
  <dcterms:created xsi:type="dcterms:W3CDTF">2014-09-04T19:19:00Z</dcterms:created>
  <dcterms:modified xsi:type="dcterms:W3CDTF">2014-09-04T19:19:00Z</dcterms:modified>
</cp:coreProperties>
</file>